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E0E0E"/>
  <w:body>
    <w:p>
      <w:pPr>
        <w:spacing w:before="0" w:after="40" w:line="312" w:lineRule="auto"/>
      </w:pPr>
    </w:p>
    <w:p>
      <w:pPr>
        <w:spacing w:before="0" w:after="200" w:line="312" w:lineRule="auto"/>
      </w:pPr>
      <w:r>
        <w:rPr>
          <w:rFonts w:ascii="JetBrains Mono" w:hAnsi="JetBrains Mono"/>
          <w:b/>
          <w:i w:val="0"/>
          <w:color w:val="888888"/>
          <w:sz w:val="20"/>
          <w:spacing w:val="40"/>
        </w:rPr>
        <w:t>KARADIGM  /  SPECIMEN</w:t>
      </w:r>
    </w:p>
    <w:p>
      <w:pPr>
        <w:spacing w:before="0" w:after="80" w:line="312" w:lineRule="auto"/>
      </w:pPr>
      <w:r>
        <w:rPr>
          <w:rFonts w:ascii="Inter" w:hAnsi="Inter"/>
          <w:b/>
          <w:i w:val="0"/>
          <w:color w:val="E7E7E7"/>
          <w:sz w:val="68"/>
        </w:rPr>
        <w:t>A system you can read</w:t>
      </w:r>
    </w:p>
    <w:tbl>
      <w:tblPr>
        <w:tblW w:type="auto" w:w="0"/>
        <w:tblLayout w:type="autofit"/>
        <w:tblLook w:firstColumn="1" w:firstRow="1" w:lastColumn="0" w:lastRow="0" w:noHBand="0" w:noVBand="1" w:val="04A0"/>
        <w:tblBorders>
          <w:top w:val="none"/>
          <w:left w:val="none"/>
          <w:bottom w:val="none"/>
          <w:right w:val="none"/>
          <w:insideH w:val="none"/>
          <w:insideV w:val="none"/>
        </w:tblBorders>
      </w:tblPr>
      <w:tblGrid>
        <w:gridCol w:w="1529"/>
        <w:gridCol w:w="1529"/>
        <w:gridCol w:w="1529"/>
        <w:gridCol w:w="1529"/>
        <w:gridCol w:w="1529"/>
        <w:gridCol w:w="1529"/>
      </w:tblGrid>
      <w:tr>
        <w:trPr>
          <w:trHeight w:val="60" w:hRule="exact"/>
        </w:trPr>
        <w:tc>
          <w:tcPr>
            <w:tcW w:type="dxa" w:w="1529"/>
            <w:shd w:val="clear" w:fill="5599DD"/>
          </w:tcPr>
          <w:p>
            <w:pPr>
              <w:spacing w:after="0" w:before="0"/>
            </w:pPr>
            <w:r>
              <w:rPr>
                <w:rFonts w:ascii="Inter" w:hAnsi="Inter"/>
                <w:b w:val="0"/>
                <w:i w:val="0"/>
                <w:color w:val="000000"/>
                <w:sz w:val="4"/>
              </w:rPr>
            </w:r>
          </w:p>
        </w:tc>
        <w:tc>
          <w:tcPr>
            <w:tcW w:type="dxa" w:w="1529"/>
            <w:shd w:val="clear" w:fill="5599DD"/>
          </w:tcPr>
          <w:p>
            <w:pPr>
              <w:spacing w:after="0" w:before="0"/>
            </w:pPr>
            <w:r>
              <w:rPr>
                <w:rFonts w:ascii="Inter" w:hAnsi="Inter"/>
                <w:b w:val="0"/>
                <w:i w:val="0"/>
                <w:color w:val="000000"/>
                <w:sz w:val="4"/>
              </w:rPr>
            </w:r>
          </w:p>
        </w:tc>
        <w:tc>
          <w:tcPr>
            <w:tcW w:type="dxa" w:w="1529"/>
            <w:shd w:val="clear" w:fill="4D8A6B"/>
          </w:tcPr>
          <w:p>
            <w:pPr>
              <w:spacing w:after="0" w:before="0"/>
            </w:pPr>
            <w:r>
              <w:rPr>
                <w:rFonts w:ascii="Inter" w:hAnsi="Inter"/>
                <w:b w:val="0"/>
                <w:i w:val="0"/>
                <w:color w:val="000000"/>
                <w:sz w:val="4"/>
              </w:rPr>
            </w:r>
          </w:p>
        </w:tc>
        <w:tc>
          <w:tcPr>
            <w:tcW w:type="dxa" w:w="1529"/>
            <w:shd w:val="clear" w:fill="4D8A6B"/>
          </w:tcPr>
          <w:p>
            <w:pPr>
              <w:spacing w:after="0" w:before="0"/>
            </w:pPr>
            <w:r>
              <w:rPr>
                <w:rFonts w:ascii="Inter" w:hAnsi="Inter"/>
                <w:b w:val="0"/>
                <w:i w:val="0"/>
                <w:color w:val="000000"/>
                <w:sz w:val="4"/>
              </w:rPr>
            </w:r>
          </w:p>
        </w:tc>
        <w:tc>
          <w:tcPr>
            <w:tcW w:type="dxa" w:w="1529"/>
            <w:shd w:val="clear" w:fill="8A4D4D"/>
          </w:tcPr>
          <w:p>
            <w:pPr>
              <w:spacing w:after="0" w:before="0"/>
            </w:pPr>
            <w:r>
              <w:rPr>
                <w:rFonts w:ascii="Inter" w:hAnsi="Inter"/>
                <w:b w:val="0"/>
                <w:i w:val="0"/>
                <w:color w:val="000000"/>
                <w:sz w:val="4"/>
              </w:rPr>
            </w:r>
          </w:p>
        </w:tc>
        <w:tc>
          <w:tcPr>
            <w:tcW w:type="dxa" w:w="1529"/>
            <w:shd w:val="clear" w:fill="8A4D4D"/>
          </w:tcPr>
          <w:p>
            <w:pPr>
              <w:spacing w:after="0" w:before="0"/>
            </w:pPr>
            <w:r>
              <w:rPr>
                <w:rFonts w:ascii="Inter" w:hAnsi="Inter"/>
                <w:b w:val="0"/>
                <w:i w:val="0"/>
                <w:color w:val="000000"/>
                <w:sz w:val="4"/>
              </w:rPr>
            </w:r>
          </w:p>
        </w:tc>
      </w:tr>
    </w:tbl>
    <w:p>
      <w:pPr>
        <w:spacing w:before="160" w:after="80" w:line="312" w:lineRule="auto"/>
      </w:pPr>
      <w:r>
        <w:rPr>
          <w:rFonts w:ascii="Inter" w:hAnsi="Inter"/>
          <w:b w:val="0"/>
          <w:i w:val="0"/>
          <w:color w:val="C8C8C8"/>
          <w:sz w:val="24"/>
        </w:rPr>
        <w:t>A multi-page Word specimen in the Karadigm style — grayscale first, accents used sparingly, and the same tokens that drive the web, the workbook and the deck.</w:t>
      </w:r>
    </w:p>
    <w:p>
      <w:pPr>
        <w:spacing w:before="0" w:after="40" w:line="312" w:lineRule="auto"/>
      </w:pPr>
      <w:r>
        <w:rPr>
          <w:rFonts w:ascii="JetBrains Mono" w:hAnsi="JetBrains Mono"/>
          <w:b w:val="0"/>
          <w:i w:val="0"/>
          <w:color w:val="888888"/>
          <w:sz w:val="19"/>
        </w:rPr>
        <w:t>Version 1.2   ·   Last updated 4 June 2026   ·   Luko Karavan</w:t>
      </w:r>
    </w:p>
    <w:p>
      <w:pPr>
        <w:spacing w:before="320" w:after="120" w:line="312" w:lineRule="auto"/>
      </w:pPr>
      <w:r>
        <w:rPr>
          <w:rFonts w:ascii="Inter" w:hAnsi="Inter"/>
          <w:b/>
          <w:i w:val="0"/>
          <w:color w:val="E7E7E7"/>
          <w:sz w:val="44"/>
        </w:rPr>
        <w:t>A system you can read</w:t>
      </w:r>
    </w:p>
    <w:p>
      <w:pPr>
        <w:spacing w:before="0" w:after="160" w:line="336" w:lineRule="auto"/>
      </w:pPr>
      <w:r>
        <w:rPr>
          <w:rFonts w:ascii="Inter" w:hAnsi="Inter"/>
          <w:b w:val="0"/>
          <w:i w:val="0"/>
          <w:color w:val="E7E7E7"/>
          <w:sz w:val="22"/>
        </w:rPr>
        <w:t>Good document design is mostly restraint. One typeface for reading, one for labels and code, a single spacing scale, and colour reserved for the few places it actually carries meaning. Everything in this file is built from that small kit.</w:t>
      </w:r>
    </w:p>
    <w:p>
      <w:pPr>
        <w:spacing w:before="0" w:after="160" w:line="336" w:lineRule="auto"/>
      </w:pPr>
      <w:r>
        <w:rPr>
          <w:rFonts w:ascii="Inter" w:hAnsi="Inter"/>
          <w:b w:val="0"/>
          <w:i w:val="0"/>
          <w:color w:val="C8C8C8"/>
          <w:sz w:val="22"/>
        </w:rPr>
        <w:t>The point of a specimen is to show the kit working together: headings, body copy, callouts, lists, quotes, tables and images, all cut from the same set of tokens so the page never argues with itself.</w:t>
      </w:r>
    </w:p>
    <w:p>
      <w:pPr>
        <w:spacing w:before="320" w:after="120" w:line="312" w:lineRule="auto"/>
      </w:pPr>
      <w:r>
        <w:rPr>
          <w:rFonts w:ascii="Inter" w:hAnsi="Inter"/>
          <w:b/>
          <w:i w:val="0"/>
          <w:color w:val="888888"/>
          <w:sz w:val="32"/>
        </w:rPr>
        <w:t xml:space="preserve">— </w:t>
      </w:r>
      <w:r>
        <w:rPr>
          <w:rFonts w:ascii="Inter" w:hAnsi="Inter"/>
          <w:b/>
          <w:i w:val="0"/>
          <w:color w:val="E7E7E7"/>
          <w:sz w:val="32"/>
        </w:rPr>
        <w:t>One layer of truth</w:t>
      </w:r>
    </w:p>
    <w:p>
      <w:pPr>
        <w:spacing w:before="0" w:after="160" w:line="336" w:lineRule="auto"/>
      </w:pPr>
      <w:r>
        <w:rPr>
          <w:rFonts w:ascii="Inter" w:hAnsi="Inter"/>
          <w:b w:val="0"/>
          <w:i w:val="0"/>
          <w:color w:val="C8C8C8"/>
          <w:sz w:val="22"/>
        </w:rPr>
        <w:t>Name a colour by the role it plays, not by how it looks. An accent token called “primary” can change from grey to green without a single rename downstream; a token called “blue” traps you the moment the brand shifts.</w:t>
      </w:r>
    </w:p>
    <w:tbl>
      <w:tblPr>
        <w:tblW w:type="auto" w:w="0"/>
        <w:tblLook w:firstColumn="1" w:firstRow="1" w:lastColumn="0" w:lastRow="0" w:noHBand="0" w:noVBand="1" w:val="04A0"/>
        <w:tblBorders>
          <w:top w:val="none"/>
          <w:left w:val="none"/>
          <w:bottom w:val="none"/>
          <w:right w:val="none"/>
          <w:insideH w:val="none"/>
          <w:insideV w:val="none"/>
        </w:tblBorders>
      </w:tblPr>
      <w:tblGrid>
        <w:gridCol w:w="9173"/>
      </w:tblGrid>
      <w:tr>
        <w:tc>
          <w:tcPr>
            <w:tcW w:type="dxa" w:w="9173"/>
            <w:shd w:val="clear" w:fill="171717"/>
            <w:tcBorders>
              <w:left w:val="single" w:sz="28" w:space="0" w:color="5599DD"/>
            </w:tcBorders>
            <w:tcMar>
              <w:top w:w="120" w:type="dxa"/>
              <w:bottom w:w="120" w:type="dxa"/>
              <w:left w:w="180" w:type="dxa"/>
              <w:right w:w="180" w:type="dxa"/>
            </w:tcMar>
          </w:tcPr>
          <w:p>
            <w:pPr>
              <w:spacing w:after="40" w:before="40"/>
            </w:pPr>
            <w:r>
              <w:rPr>
                <w:rFonts w:ascii="JetBrains Mono" w:hAnsi="JetBrains Mono"/>
                <w:b/>
                <w:i w:val="0"/>
                <w:color w:val="5599DD"/>
                <w:sz w:val="17"/>
                <w:spacing w:val="30"/>
              </w:rPr>
              <w:t>NOTE</w:t>
            </w:r>
          </w:p>
          <w:p>
            <w:pPr>
              <w:spacing w:after="40"/>
            </w:pPr>
            <w:r>
              <w:rPr>
                <w:rFonts w:ascii="Inter" w:hAnsi="Inter"/>
                <w:b/>
                <w:i w:val="0"/>
                <w:color w:val="E7E7E7"/>
                <w:sz w:val="22"/>
              </w:rPr>
              <w:t>Callouts share one language</w:t>
            </w:r>
          </w:p>
          <w:p>
            <w:pPr>
              <w:spacing w:after="40" w:line="312" w:lineRule="auto"/>
            </w:pPr>
            <w:r>
              <w:rPr>
                <w:rFonts w:ascii="Inter" w:hAnsi="Inter"/>
                <w:b w:val="0"/>
                <w:i w:val="0"/>
                <w:color w:val="C8C8C8"/>
                <w:sz w:val="21"/>
              </w:rPr>
              <w:t>Note, tip and warning blocks differ only by their accent and label — the same shape, padding and type carry across every format.</w:t>
            </w:r>
          </w:p>
        </w:tc>
      </w:tr>
    </w:tbl>
    <w:p>
      <w:pPr>
        <w:spacing w:before="0" w:after="80" w:line="312" w:lineRule="auto"/>
      </w:pPr>
    </w:p>
    <w:p>
      <w:pPr>
        <w:spacing w:before="0" w:after="60" w:line="312" w:lineRule="auto"/>
        <w:ind w:left="280"/>
      </w:pPr>
      <w:r>
        <w:rPr>
          <w:rFonts w:ascii="Inter" w:hAnsi="Inter"/>
          <w:b/>
          <w:i w:val="0"/>
          <w:color w:val="888888"/>
          <w:sz w:val="21"/>
        </w:rPr>
        <w:t xml:space="preserve">▪  </w:t>
      </w:r>
      <w:r>
        <w:rPr>
          <w:rFonts w:ascii="Inter" w:hAnsi="Inter"/>
          <w:b w:val="0"/>
          <w:i w:val="0"/>
          <w:color w:val="C8C8C8"/>
          <w:sz w:val="21"/>
        </w:rPr>
        <w:t>Name by role, not by look — one accent token, never “blue”.</w:t>
      </w:r>
    </w:p>
    <w:p>
      <w:pPr>
        <w:spacing w:before="0" w:after="60" w:line="312" w:lineRule="auto"/>
        <w:ind w:left="280"/>
      </w:pPr>
      <w:r>
        <w:rPr>
          <w:rFonts w:ascii="Inter" w:hAnsi="Inter"/>
          <w:b/>
          <w:i w:val="0"/>
          <w:color w:val="888888"/>
          <w:sz w:val="21"/>
        </w:rPr>
        <w:t xml:space="preserve">▪  </w:t>
      </w:r>
      <w:r>
        <w:rPr>
          <w:rFonts w:ascii="Inter" w:hAnsi="Inter"/>
          <w:b w:val="0"/>
          <w:i w:val="0"/>
          <w:color w:val="C8C8C8"/>
          <w:sz w:val="21"/>
        </w:rPr>
        <w:t>Keep a single spacing scale and never break it.</w:t>
      </w:r>
    </w:p>
    <w:p>
      <w:pPr>
        <w:spacing w:before="0" w:after="60" w:line="312" w:lineRule="auto"/>
        <w:ind w:left="280"/>
      </w:pPr>
      <w:r>
        <w:rPr>
          <w:rFonts w:ascii="Inter" w:hAnsi="Inter"/>
          <w:b/>
          <w:i w:val="0"/>
          <w:color w:val="888888"/>
          <w:sz w:val="21"/>
        </w:rPr>
        <w:t xml:space="preserve">▪  </w:t>
      </w:r>
      <w:r>
        <w:rPr>
          <w:rFonts w:ascii="Inter" w:hAnsi="Inter"/>
          <w:b w:val="0"/>
          <w:i w:val="0"/>
          <w:color w:val="C8C8C8"/>
          <w:sz w:val="21"/>
        </w:rPr>
        <w:t>Document the why next to the what, so the next person keeps the rule.</w:t>
      </w:r>
    </w:p>
    <w:p>
      <w:pPr>
        <w:spacing w:before="120" w:after="40" w:line="312" w:lineRule="auto"/>
        <w:jc w:val="center"/>
      </w:pPr>
      <w:r>
        <w:drawing>
          <wp:inline xmlns:a="http://schemas.openxmlformats.org/drawingml/2006/main" xmlns:pic="http://schemas.openxmlformats.org/drawingml/2006/picture">
            <wp:extent cx="5760720" cy="3839108"/>
            <wp:docPr id="1" name="Picture 1"/>
            <wp:cNvGraphicFramePr>
              <a:graphicFrameLocks noChangeAspect="1"/>
            </wp:cNvGraphicFramePr>
            <a:graphic>
              <a:graphicData uri="http://schemas.openxmlformats.org/drawingml/2006/picture">
                <pic:pic>
                  <pic:nvPicPr>
                    <pic:cNvPr id="0" name="forest.jpg"/>
                    <pic:cNvPicPr/>
                  </pic:nvPicPr>
                  <pic:blipFill>
                    <a:blip r:embed="rId9"/>
                    <a:stretch>
                      <a:fillRect/>
                    </a:stretch>
                  </pic:blipFill>
                  <pic:spPr>
                    <a:xfrm>
                      <a:off x="0" y="0"/>
                      <a:ext cx="5760720" cy="3839108"/>
                    </a:xfrm>
                    <a:prstGeom prst="rect"/>
                  </pic:spPr>
                </pic:pic>
              </a:graphicData>
            </a:graphic>
          </wp:inline>
        </w:drawing>
      </w:r>
    </w:p>
    <w:p>
      <w:pPr>
        <w:spacing w:before="0" w:after="200" w:line="312" w:lineRule="auto"/>
        <w:jc w:val="center"/>
      </w:pPr>
      <w:r>
        <w:rPr>
          <w:rFonts w:ascii="JetBrains Mono" w:hAnsi="JetBrains Mono"/>
          <w:b w:val="0"/>
          <w:i/>
          <w:color w:val="888888"/>
          <w:sz w:val="18"/>
        </w:rPr>
        <w:t>Full-bleed imagery sits inside the same margins as the text.</w:t>
      </w:r>
    </w:p>
    <w:p>
      <w:pPr>
        <w:spacing w:before="320" w:after="120" w:line="312" w:lineRule="auto"/>
      </w:pPr>
      <w:r>
        <w:rPr>
          <w:rFonts w:ascii="Inter" w:hAnsi="Inter"/>
          <w:b/>
          <w:i w:val="0"/>
          <w:color w:val="888888"/>
          <w:sz w:val="32"/>
        </w:rPr>
        <w:t xml:space="preserve">— </w:t>
      </w:r>
      <w:r>
        <w:rPr>
          <w:rFonts w:ascii="Inter" w:hAnsi="Inter"/>
          <w:b/>
          <w:i w:val="0"/>
          <w:color w:val="E7E7E7"/>
          <w:sz w:val="32"/>
        </w:rPr>
        <w:t>Naming things</w:t>
      </w:r>
    </w:p>
    <w:p>
      <w:pPr>
        <w:spacing w:before="0" w:after="160" w:line="336" w:lineRule="auto"/>
      </w:pPr>
      <w:r>
        <w:rPr>
          <w:rFonts w:ascii="Inter" w:hAnsi="Inter"/>
          <w:b w:val="0"/>
          <w:i w:val="0"/>
          <w:color w:val="C8C8C8"/>
          <w:sz w:val="22"/>
        </w:rPr>
        <w:t>Sed ut perspiciatis unde omnis iste natus error sit voluptatem accusantium doloremque laudantium, totam rem aperiam, eaque ipsa quae ab illo inventore veritatis et quasi architecto beatae vitae dicta sunt explicabo.</w:t>
      </w:r>
    </w:p>
    <w:p>
      <w:pPr>
        <w:spacing w:before="0" w:after="60" w:line="312" w:lineRule="auto"/>
        <w:ind w:left="280"/>
      </w:pPr>
      <w:r>
        <w:rPr>
          <w:rFonts w:ascii="Inter" w:hAnsi="Inter"/>
          <w:b/>
          <w:i w:val="0"/>
          <w:color w:val="888888"/>
          <w:sz w:val="21"/>
        </w:rPr>
        <w:t xml:space="preserve">1. </w:t>
      </w:r>
      <w:r>
        <w:rPr>
          <w:rFonts w:ascii="Inter" w:hAnsi="Inter"/>
          <w:b w:val="0"/>
          <w:i w:val="0"/>
          <w:color w:val="C8C8C8"/>
          <w:sz w:val="21"/>
        </w:rPr>
        <w:t>Gather the requirements before touching a style.</w:t>
      </w:r>
    </w:p>
    <w:p>
      <w:pPr>
        <w:spacing w:before="0" w:after="60" w:line="312" w:lineRule="auto"/>
        <w:ind w:left="280"/>
      </w:pPr>
      <w:r>
        <w:rPr>
          <w:rFonts w:ascii="Inter" w:hAnsi="Inter"/>
          <w:b/>
          <w:i w:val="0"/>
          <w:color w:val="888888"/>
          <w:sz w:val="21"/>
        </w:rPr>
        <w:t xml:space="preserve">2. </w:t>
      </w:r>
      <w:r>
        <w:rPr>
          <w:rFonts w:ascii="Inter" w:hAnsi="Inter"/>
          <w:b w:val="0"/>
          <w:i w:val="0"/>
          <w:color w:val="C8C8C8"/>
          <w:sz w:val="21"/>
        </w:rPr>
        <w:t>Draft the structure, then the surface — never the other way round.</w:t>
      </w:r>
    </w:p>
    <w:p>
      <w:pPr>
        <w:spacing w:before="0" w:after="60" w:line="312" w:lineRule="auto"/>
        <w:ind w:left="280"/>
      </w:pPr>
      <w:r>
        <w:rPr>
          <w:rFonts w:ascii="Inter" w:hAnsi="Inter"/>
          <w:b/>
          <w:i w:val="0"/>
          <w:color w:val="888888"/>
          <w:sz w:val="21"/>
        </w:rPr>
        <w:t xml:space="preserve">3. </w:t>
      </w:r>
      <w:r>
        <w:rPr>
          <w:rFonts w:ascii="Inter" w:hAnsi="Inter"/>
          <w:b w:val="0"/>
          <w:i w:val="0"/>
          <w:color w:val="C8C8C8"/>
          <w:sz w:val="21"/>
        </w:rPr>
        <w:t>Review against the tokens, not against taste.</w:t>
      </w:r>
    </w:p>
    <w:tbl>
      <w:tblPr>
        <w:tblW w:type="auto" w:w="0"/>
        <w:tblLook w:firstColumn="1" w:firstRow="1" w:lastColumn="0" w:lastRow="0" w:noHBand="0" w:noVBand="1" w:val="04A0"/>
        <w:tblBorders>
          <w:top w:val="none"/>
          <w:left w:val="none"/>
          <w:bottom w:val="none"/>
          <w:right w:val="none"/>
          <w:insideH w:val="none"/>
          <w:insideV w:val="none"/>
        </w:tblBorders>
      </w:tblPr>
      <w:tblGrid>
        <w:gridCol w:w="9173"/>
      </w:tblGrid>
      <w:tr>
        <w:tc>
          <w:tcPr>
            <w:tcW w:type="dxa" w:w="9173"/>
            <w:shd w:val="clear" w:fill="171717"/>
            <w:tcBorders>
              <w:left w:val="single" w:sz="28" w:space="0" w:color="4D8A6B"/>
            </w:tcBorders>
            <w:tcMar>
              <w:top w:w="120" w:type="dxa"/>
              <w:bottom w:w="120" w:type="dxa"/>
              <w:left w:w="180" w:type="dxa"/>
              <w:right w:w="180" w:type="dxa"/>
            </w:tcMar>
          </w:tcPr>
          <w:p>
            <w:pPr>
              <w:spacing w:after="40" w:before="40"/>
            </w:pPr>
            <w:r>
              <w:rPr>
                <w:rFonts w:ascii="JetBrains Mono" w:hAnsi="JetBrains Mono"/>
                <w:b/>
                <w:i w:val="0"/>
                <w:color w:val="4D8A6B"/>
                <w:sz w:val="17"/>
                <w:spacing w:val="30"/>
              </w:rPr>
              <w:t>TIP</w:t>
            </w:r>
          </w:p>
          <w:p>
            <w:pPr>
              <w:spacing w:after="40"/>
            </w:pPr>
            <w:r>
              <w:rPr>
                <w:rFonts w:ascii="Inter" w:hAnsi="Inter"/>
                <w:b/>
                <w:i w:val="0"/>
                <w:color w:val="E7E7E7"/>
                <w:sz w:val="22"/>
              </w:rPr>
              <w:t>Re-skin from one file</w:t>
            </w:r>
          </w:p>
          <w:p>
            <w:pPr>
              <w:spacing w:after="40" w:line="312" w:lineRule="auto"/>
            </w:pPr>
            <w:r>
              <w:rPr>
                <w:rFonts w:ascii="Inter" w:hAnsi="Inter"/>
                <w:b w:val="0"/>
                <w:i w:val="0"/>
                <w:color w:val="C8C8C8"/>
                <w:sz w:val="21"/>
              </w:rPr>
              <w:t>Because every value is a token, switching the whole document from light to dark is a single change — this very file ships in both.</w:t>
            </w:r>
          </w:p>
        </w:tc>
      </w:tr>
    </w:tbl>
    <w:p>
      <w:pPr>
        <w:spacing w:before="0" w:after="80" w:line="312" w:lineRule="auto"/>
      </w:pPr>
    </w:p>
    <w:p>
      <w:pPr>
        <w:spacing w:before="200" w:after="40" w:line="300" w:lineRule="auto"/>
        <w:jc w:val="center"/>
      </w:pPr>
      <w:r>
        <w:rPr>
          <w:rFonts w:ascii="Inter" w:hAnsi="Inter"/>
          <w:b/>
          <w:i w:val="0"/>
          <w:color w:val="E7E7E7"/>
          <w:sz w:val="30"/>
        </w:rPr>
        <w:t>“The system you can re-skin in one file is the one that survives the next redesign.”</w:t>
      </w:r>
    </w:p>
    <w:p>
      <w:pPr>
        <w:spacing w:before="0" w:after="200" w:line="312" w:lineRule="auto"/>
        <w:jc w:val="center"/>
      </w:pPr>
      <w:r>
        <w:rPr>
          <w:rFonts w:ascii="JetBrains Mono" w:hAnsi="JetBrains Mono"/>
          <w:b w:val="0"/>
          <w:i w:val="0"/>
          <w:color w:val="888888"/>
          <w:sz w:val="19"/>
        </w:rPr>
        <w:t>— Karadigm</w:t>
      </w:r>
    </w:p>
    <w:p>
      <w:pPr>
        <w:spacing w:before="320" w:after="120" w:line="312" w:lineRule="auto"/>
      </w:pPr>
      <w:r>
        <w:rPr>
          <w:rFonts w:ascii="Inter" w:hAnsi="Inter"/>
          <w:b/>
          <w:i w:val="0"/>
          <w:color w:val="888888"/>
          <w:sz w:val="32"/>
        </w:rPr>
        <w:t xml:space="preserve">— </w:t>
      </w:r>
      <w:r>
        <w:rPr>
          <w:rFonts w:ascii="Inter" w:hAnsi="Inter"/>
          <w:b/>
          <w:i w:val="0"/>
          <w:color w:val="E7E7E7"/>
          <w:sz w:val="32"/>
        </w:rPr>
        <w:t>Colour &amp; contrast</w:t>
      </w:r>
    </w:p>
    <w:p>
      <w:pPr>
        <w:spacing w:before="0" w:after="160" w:line="336" w:lineRule="auto"/>
      </w:pPr>
      <w:r>
        <w:rPr>
          <w:rFonts w:ascii="Inter" w:hAnsi="Inter"/>
          <w:b w:val="0"/>
          <w:i w:val="0"/>
          <w:color w:val="C8C8C8"/>
          <w:sz w:val="22"/>
        </w:rPr>
        <w:t>The palette is deliberately small. Neutral grey does the everyday work; blue, green and red appear only as information, success and warning. Below, the live swatches are filled straight from the token values.</w:t>
      </w:r>
    </w:p>
    <w:tbl>
      <w:tblPr>
        <w:tblW w:type="auto" w:w="0"/>
        <w:tblLook w:firstColumn="1" w:firstRow="1" w:lastColumn="0" w:lastRow="0" w:noHBand="0" w:noVBand="1" w:val="04A0"/>
        <w:tblBorders>
          <w:top w:val="none"/>
          <w:left w:val="none"/>
          <w:bottom w:val="none"/>
          <w:right w:val="none"/>
          <w:insideH w:val="none"/>
          <w:insideV w:val="none"/>
        </w:tblBorders>
      </w:tblPr>
      <w:tblGrid>
        <w:gridCol w:w="1529"/>
        <w:gridCol w:w="1529"/>
        <w:gridCol w:w="1529"/>
        <w:gridCol w:w="1529"/>
        <w:gridCol w:w="1529"/>
        <w:gridCol w:w="1529"/>
      </w:tblGrid>
      <w:tr>
        <w:tc>
          <w:tcPr>
            <w:tcW w:type="dxa" w:w="1529"/>
            <w:shd w:val="clear" w:fill="888888"/>
          </w:tcPr>
          <w:p>
            <w:pPr>
              <w:spacing w:before="160" w:after="160"/>
              <w:jc w:val="center"/>
            </w:pPr>
            <w:r>
              <w:rPr>
                <w:rFonts w:ascii="Inter" w:hAnsi="Inter"/>
                <w:b w:val="0"/>
                <w:i w:val="0"/>
                <w:color w:val="000000"/>
                <w:sz w:val="12"/>
              </w:rPr>
            </w:r>
          </w:p>
        </w:tc>
        <w:tc>
          <w:tcPr>
            <w:tcW w:type="dxa" w:w="1529"/>
            <w:shd w:val="clear" w:fill="5599DD"/>
          </w:tcPr>
          <w:p>
            <w:pPr>
              <w:spacing w:before="160" w:after="160"/>
              <w:jc w:val="center"/>
            </w:pPr>
            <w:r>
              <w:rPr>
                <w:rFonts w:ascii="Inter" w:hAnsi="Inter"/>
                <w:b w:val="0"/>
                <w:i w:val="0"/>
                <w:color w:val="000000"/>
                <w:sz w:val="12"/>
              </w:rPr>
            </w:r>
          </w:p>
        </w:tc>
        <w:tc>
          <w:tcPr>
            <w:tcW w:type="dxa" w:w="1529"/>
            <w:shd w:val="clear" w:fill="4D8A6B"/>
          </w:tcPr>
          <w:p>
            <w:pPr>
              <w:spacing w:before="160" w:after="160"/>
              <w:jc w:val="center"/>
            </w:pPr>
            <w:r>
              <w:rPr>
                <w:rFonts w:ascii="Inter" w:hAnsi="Inter"/>
                <w:b w:val="0"/>
                <w:i w:val="0"/>
                <w:color w:val="000000"/>
                <w:sz w:val="12"/>
              </w:rPr>
            </w:r>
          </w:p>
        </w:tc>
        <w:tc>
          <w:tcPr>
            <w:tcW w:type="dxa" w:w="1529"/>
            <w:shd w:val="clear" w:fill="8A4D4D"/>
          </w:tcPr>
          <w:p>
            <w:pPr>
              <w:spacing w:before="160" w:after="160"/>
              <w:jc w:val="center"/>
            </w:pPr>
            <w:r>
              <w:rPr>
                <w:rFonts w:ascii="Inter" w:hAnsi="Inter"/>
                <w:b w:val="0"/>
                <w:i w:val="0"/>
                <w:color w:val="000000"/>
                <w:sz w:val="12"/>
              </w:rPr>
            </w:r>
          </w:p>
        </w:tc>
        <w:tc>
          <w:tcPr>
            <w:tcW w:type="dxa" w:w="1529"/>
            <w:shd w:val="clear" w:fill="E7E7E7"/>
          </w:tcPr>
          <w:p>
            <w:pPr>
              <w:spacing w:before="160" w:after="160"/>
              <w:jc w:val="center"/>
            </w:pPr>
            <w:r>
              <w:rPr>
                <w:rFonts w:ascii="Inter" w:hAnsi="Inter"/>
                <w:b w:val="0"/>
                <w:i w:val="0"/>
                <w:color w:val="000000"/>
                <w:sz w:val="12"/>
              </w:rPr>
            </w:r>
          </w:p>
        </w:tc>
        <w:tc>
          <w:tcPr>
            <w:tcW w:type="dxa" w:w="1529"/>
            <w:shd w:val="clear" w:fill="4C4C4C"/>
          </w:tcPr>
          <w:p>
            <w:pPr>
              <w:spacing w:before="160" w:after="160"/>
              <w:jc w:val="center"/>
            </w:pPr>
            <w:r>
              <w:rPr>
                <w:rFonts w:ascii="Inter" w:hAnsi="Inter"/>
                <w:b w:val="0"/>
                <w:i w:val="0"/>
                <w:color w:val="000000"/>
                <w:sz w:val="12"/>
              </w:rPr>
            </w:r>
          </w:p>
        </w:tc>
      </w:tr>
      <w:tr>
        <w:tc>
          <w:tcPr>
            <w:tcW w:type="dxa" w:w="1529"/>
          </w:tcPr>
          <w:p>
            <w:pPr>
              <w:jc w:val="center"/>
            </w:pPr>
            <w:r>
              <w:rPr>
                <w:rFonts w:ascii="JetBrains Mono" w:hAnsi="JetBrains Mono"/>
                <w:b w:val="0"/>
                <w:i w:val="0"/>
                <w:color w:val="C8C8C8"/>
                <w:sz w:val="15"/>
              </w:rPr>
              <w:t>acc-neutral</w:t>
            </w:r>
          </w:p>
        </w:tc>
        <w:tc>
          <w:tcPr>
            <w:tcW w:type="dxa" w:w="1529"/>
          </w:tcPr>
          <w:p>
            <w:pPr>
              <w:jc w:val="center"/>
            </w:pPr>
            <w:r>
              <w:rPr>
                <w:rFonts w:ascii="JetBrains Mono" w:hAnsi="JetBrains Mono"/>
                <w:b w:val="0"/>
                <w:i w:val="0"/>
                <w:color w:val="C8C8C8"/>
                <w:sz w:val="15"/>
              </w:rPr>
              <w:t>acc-blue</w:t>
            </w:r>
          </w:p>
        </w:tc>
        <w:tc>
          <w:tcPr>
            <w:tcW w:type="dxa" w:w="1529"/>
          </w:tcPr>
          <w:p>
            <w:pPr>
              <w:jc w:val="center"/>
            </w:pPr>
            <w:r>
              <w:rPr>
                <w:rFonts w:ascii="JetBrains Mono" w:hAnsi="JetBrains Mono"/>
                <w:b w:val="0"/>
                <w:i w:val="0"/>
                <w:color w:val="C8C8C8"/>
                <w:sz w:val="15"/>
              </w:rPr>
              <w:t>acc-green</w:t>
            </w:r>
          </w:p>
        </w:tc>
        <w:tc>
          <w:tcPr>
            <w:tcW w:type="dxa" w:w="1529"/>
          </w:tcPr>
          <w:p>
            <w:pPr>
              <w:jc w:val="center"/>
            </w:pPr>
            <w:r>
              <w:rPr>
                <w:rFonts w:ascii="JetBrains Mono" w:hAnsi="JetBrains Mono"/>
                <w:b w:val="0"/>
                <w:i w:val="0"/>
                <w:color w:val="C8C8C8"/>
                <w:sz w:val="15"/>
              </w:rPr>
              <w:t>acc-red</w:t>
            </w:r>
          </w:p>
        </w:tc>
        <w:tc>
          <w:tcPr>
            <w:tcW w:type="dxa" w:w="1529"/>
          </w:tcPr>
          <w:p>
            <w:pPr>
              <w:jc w:val="center"/>
            </w:pPr>
            <w:r>
              <w:rPr>
                <w:rFonts w:ascii="JetBrains Mono" w:hAnsi="JetBrains Mono"/>
                <w:b w:val="0"/>
                <w:i w:val="0"/>
                <w:color w:val="C8C8C8"/>
                <w:sz w:val="15"/>
              </w:rPr>
              <w:t>fg0</w:t>
            </w:r>
          </w:p>
        </w:tc>
        <w:tc>
          <w:tcPr>
            <w:tcW w:type="dxa" w:w="1529"/>
          </w:tcPr>
          <w:p>
            <w:pPr>
              <w:jc w:val="center"/>
            </w:pPr>
            <w:r>
              <w:rPr>
                <w:rFonts w:ascii="JetBrains Mono" w:hAnsi="JetBrains Mono"/>
                <w:b w:val="0"/>
                <w:i w:val="0"/>
                <w:color w:val="C8C8C8"/>
                <w:sz w:val="15"/>
              </w:rPr>
              <w:t>line</w:t>
            </w:r>
          </w:p>
        </w:tc>
      </w:tr>
    </w:tbl>
    <w:p>
      <w:pPr>
        <w:spacing w:before="0" w:after="160" w:line="312" w:lineRule="auto"/>
      </w:pPr>
    </w:p>
    <w:p>
      <w:pPr>
        <w:spacing w:before="120" w:after="40" w:line="312" w:lineRule="auto"/>
        <w:jc w:val="center"/>
      </w:pPr>
      <w:r>
        <w:drawing>
          <wp:inline xmlns:a="http://schemas.openxmlformats.org/drawingml/2006/main" xmlns:pic="http://schemas.openxmlformats.org/drawingml/2006/picture">
            <wp:extent cx="5760720" cy="3839108"/>
            <wp:docPr id="2" name="Picture 2"/>
            <wp:cNvGraphicFramePr>
              <a:graphicFrameLocks noChangeAspect="1"/>
            </wp:cNvGraphicFramePr>
            <a:graphic>
              <a:graphicData uri="http://schemas.openxmlformats.org/drawingml/2006/picture">
                <pic:pic>
                  <pic:nvPicPr>
                    <pic:cNvPr id="0" name="storm.jpg"/>
                    <pic:cNvPicPr/>
                  </pic:nvPicPr>
                  <pic:blipFill>
                    <a:blip r:embed="rId10"/>
                    <a:stretch>
                      <a:fillRect/>
                    </a:stretch>
                  </pic:blipFill>
                  <pic:spPr>
                    <a:xfrm>
                      <a:off x="0" y="0"/>
                      <a:ext cx="5760720" cy="3839108"/>
                    </a:xfrm>
                    <a:prstGeom prst="rect"/>
                  </pic:spPr>
                </pic:pic>
              </a:graphicData>
            </a:graphic>
          </wp:inline>
        </w:drawing>
      </w:r>
    </w:p>
    <w:p>
      <w:pPr>
        <w:spacing w:before="0" w:after="200" w:line="312" w:lineRule="auto"/>
        <w:jc w:val="center"/>
      </w:pPr>
      <w:r>
        <w:rPr>
          <w:rFonts w:ascii="JetBrains Mono" w:hAnsi="JetBrains Mono"/>
          <w:b w:val="0"/>
          <w:i/>
          <w:color w:val="888888"/>
          <w:sz w:val="18"/>
        </w:rPr>
        <w:t>A second image keeps the rhythm without breaking the grid.</w:t>
      </w:r>
    </w:p>
    <w:p>
      <w:pPr>
        <w:spacing w:before="320" w:after="120" w:line="312" w:lineRule="auto"/>
      </w:pPr>
      <w:r>
        <w:rPr>
          <w:rFonts w:ascii="Inter" w:hAnsi="Inter"/>
          <w:b/>
          <w:i w:val="0"/>
          <w:color w:val="888888"/>
          <w:sz w:val="32"/>
        </w:rPr>
        <w:t xml:space="preserve">— </w:t>
      </w:r>
      <w:r>
        <w:rPr>
          <w:rFonts w:ascii="Inter" w:hAnsi="Inter"/>
          <w:b/>
          <w:i w:val="0"/>
          <w:color w:val="E7E7E7"/>
          <w:sz w:val="32"/>
        </w:rPr>
        <w:t>Tables</w:t>
      </w:r>
    </w:p>
    <w:p>
      <w:pPr>
        <w:spacing w:before="0" w:after="160" w:line="336" w:lineRule="auto"/>
      </w:pPr>
      <w:r>
        <w:rPr>
          <w:rFonts w:ascii="Inter" w:hAnsi="Inter"/>
          <w:b w:val="0"/>
          <w:i w:val="0"/>
          <w:color w:val="C8C8C8"/>
          <w:sz w:val="22"/>
        </w:rPr>
        <w:t>Tabular data uses a quiet header, hairline rules and banded rows for scanning — the monospace figures line up on the right.</w:t>
      </w:r>
    </w:p>
    <w:tbl>
      <w:tblPr>
        <w:tblW w:type="auto" w:w="0"/>
        <w:tblLook w:firstColumn="1" w:firstRow="1" w:lastColumn="0" w:lastRow="0" w:noHBand="0" w:noVBand="1" w:val="04A0"/>
        <w:jc w:val="left"/>
        <w:tblBorders>
          <w:top w:val="none"/>
          <w:left w:val="none"/>
          <w:bottom w:val="none"/>
          <w:right w:val="none"/>
          <w:insideH w:val="none"/>
          <w:insideV w:val="none"/>
        </w:tblBorders>
      </w:tblPr>
      <w:tblGrid>
        <w:gridCol w:w="2293"/>
        <w:gridCol w:w="2293"/>
        <w:gridCol w:w="2293"/>
        <w:gridCol w:w="2293"/>
      </w:tblGrid>
      <w:tr>
        <w:tc>
          <w:tcPr>
            <w:tcW w:type="dxa" w:w="2293"/>
            <w:shd w:val="clear" w:fill="1F1F1F"/>
          </w:tcPr>
          <w:p>
            <w:pPr>
              <w:spacing w:after="40" w:before="40"/>
            </w:pPr>
            <w:r>
              <w:rPr>
                <w:rFonts w:ascii="Inter" w:hAnsi="Inter"/>
                <w:b/>
                <w:i w:val="0"/>
                <w:color w:val="E7E7E7"/>
                <w:sz w:val="20"/>
              </w:rPr>
              <w:t>Plan</w:t>
            </w:r>
          </w:p>
        </w:tc>
        <w:tc>
          <w:tcPr>
            <w:tcW w:type="dxa" w:w="2293"/>
            <w:shd w:val="clear" w:fill="1F1F1F"/>
          </w:tcPr>
          <w:p>
            <w:pPr>
              <w:spacing w:after="40" w:before="40"/>
              <w:jc w:val="right"/>
            </w:pPr>
            <w:r>
              <w:rPr>
                <w:rFonts w:ascii="Inter" w:hAnsi="Inter"/>
                <w:b/>
                <w:i w:val="0"/>
                <w:color w:val="E7E7E7"/>
                <w:sz w:val="20"/>
              </w:rPr>
              <w:t>Pages</w:t>
            </w:r>
          </w:p>
        </w:tc>
        <w:tc>
          <w:tcPr>
            <w:tcW w:type="dxa" w:w="2293"/>
            <w:shd w:val="clear" w:fill="1F1F1F"/>
          </w:tcPr>
          <w:p>
            <w:pPr>
              <w:spacing w:after="40" w:before="40"/>
              <w:jc w:val="right"/>
            </w:pPr>
            <w:r>
              <w:rPr>
                <w:rFonts w:ascii="Inter" w:hAnsi="Inter"/>
                <w:b/>
                <w:i w:val="0"/>
                <w:color w:val="E7E7E7"/>
                <w:sz w:val="20"/>
              </w:rPr>
              <w:t>License</w:t>
            </w:r>
          </w:p>
        </w:tc>
        <w:tc>
          <w:tcPr>
            <w:tcW w:type="dxa" w:w="2293"/>
            <w:shd w:val="clear" w:fill="1F1F1F"/>
          </w:tcPr>
          <w:p>
            <w:pPr>
              <w:spacing w:after="40" w:before="40"/>
              <w:jc w:val="right"/>
            </w:pPr>
            <w:r>
              <w:rPr>
                <w:rFonts w:ascii="Inter" w:hAnsi="Inter"/>
                <w:b/>
                <w:i w:val="0"/>
                <w:color w:val="E7E7E7"/>
                <w:sz w:val="20"/>
              </w:rPr>
              <w:t>Price</w:t>
            </w:r>
          </w:p>
        </w:tc>
      </w:tr>
      <w:tr>
        <w:tc>
          <w:tcPr>
            <w:tcW w:type="dxa" w:w="2293"/>
          </w:tcPr>
          <w:p>
            <w:pPr>
              <w:spacing w:after="40" w:before="40"/>
            </w:pPr>
            <w:r>
              <w:rPr>
                <w:rFonts w:ascii="Inter" w:hAnsi="Inter"/>
                <w:b w:val="0"/>
                <w:i w:val="0"/>
                <w:color w:val="E7E7E7"/>
                <w:sz w:val="20"/>
              </w:rPr>
              <w:t>Starter</w:t>
            </w:r>
          </w:p>
        </w:tc>
        <w:tc>
          <w:tcPr>
            <w:tcW w:type="dxa" w:w="2293"/>
          </w:tcPr>
          <w:p>
            <w:pPr>
              <w:spacing w:after="40" w:before="40"/>
              <w:jc w:val="right"/>
            </w:pPr>
            <w:r>
              <w:rPr>
                <w:rFonts w:ascii="JetBrains Mono" w:hAnsi="JetBrains Mono"/>
                <w:b w:val="0"/>
                <w:i w:val="0"/>
                <w:color w:val="C8C8C8"/>
                <w:sz w:val="20"/>
              </w:rPr>
              <w:t>3</w:t>
            </w:r>
          </w:p>
        </w:tc>
        <w:tc>
          <w:tcPr>
            <w:tcW w:type="dxa" w:w="2293"/>
          </w:tcPr>
          <w:p>
            <w:pPr>
              <w:spacing w:after="40" w:before="40"/>
              <w:jc w:val="right"/>
            </w:pPr>
            <w:r>
              <w:rPr>
                <w:rFonts w:ascii="JetBrains Mono" w:hAnsi="JetBrains Mono"/>
                <w:b w:val="0"/>
                <w:i w:val="0"/>
                <w:color w:val="C8C8C8"/>
                <w:sz w:val="20"/>
              </w:rPr>
              <w:t>Personal</w:t>
            </w:r>
          </w:p>
        </w:tc>
        <w:tc>
          <w:tcPr>
            <w:tcW w:type="dxa" w:w="2293"/>
          </w:tcPr>
          <w:p>
            <w:pPr>
              <w:spacing w:after="40" w:before="40"/>
              <w:jc w:val="right"/>
            </w:pPr>
            <w:r>
              <w:rPr>
                <w:rFonts w:ascii="JetBrains Mono" w:hAnsi="JetBrains Mono"/>
                <w:b w:val="0"/>
                <w:i w:val="0"/>
                <w:color w:val="C8C8C8"/>
                <w:sz w:val="20"/>
              </w:rPr>
              <w:t>Free</w:t>
            </w:r>
          </w:p>
        </w:tc>
      </w:tr>
      <w:tr>
        <w:tc>
          <w:tcPr>
            <w:tcW w:type="dxa" w:w="2293"/>
            <w:shd w:val="clear" w:fill="171717"/>
          </w:tcPr>
          <w:p>
            <w:pPr>
              <w:spacing w:after="40" w:before="40"/>
            </w:pPr>
            <w:r>
              <w:rPr>
                <w:rFonts w:ascii="Inter" w:hAnsi="Inter"/>
                <w:b w:val="0"/>
                <w:i w:val="0"/>
                <w:color w:val="E7E7E7"/>
                <w:sz w:val="20"/>
              </w:rPr>
              <w:t>Standard</w:t>
            </w:r>
          </w:p>
        </w:tc>
        <w:tc>
          <w:tcPr>
            <w:tcW w:type="dxa" w:w="2293"/>
            <w:shd w:val="clear" w:fill="171717"/>
          </w:tcPr>
          <w:p>
            <w:pPr>
              <w:spacing w:after="40" w:before="40"/>
              <w:jc w:val="right"/>
            </w:pPr>
            <w:r>
              <w:rPr>
                <w:rFonts w:ascii="JetBrains Mono" w:hAnsi="JetBrains Mono"/>
                <w:b w:val="0"/>
                <w:i w:val="0"/>
                <w:color w:val="C8C8C8"/>
                <w:sz w:val="20"/>
              </w:rPr>
              <w:t>6</w:t>
            </w:r>
          </w:p>
        </w:tc>
        <w:tc>
          <w:tcPr>
            <w:tcW w:type="dxa" w:w="2293"/>
            <w:shd w:val="clear" w:fill="171717"/>
          </w:tcPr>
          <w:p>
            <w:pPr>
              <w:spacing w:after="40" w:before="40"/>
              <w:jc w:val="right"/>
            </w:pPr>
            <w:r>
              <w:rPr>
                <w:rFonts w:ascii="JetBrains Mono" w:hAnsi="JetBrains Mono"/>
                <w:b w:val="0"/>
                <w:i w:val="0"/>
                <w:color w:val="C8C8C8"/>
                <w:sz w:val="20"/>
              </w:rPr>
              <w:t>Commercial</w:t>
            </w:r>
          </w:p>
        </w:tc>
        <w:tc>
          <w:tcPr>
            <w:tcW w:type="dxa" w:w="2293"/>
            <w:shd w:val="clear" w:fill="171717"/>
          </w:tcPr>
          <w:p>
            <w:pPr>
              <w:spacing w:after="40" w:before="40"/>
              <w:jc w:val="right"/>
            </w:pPr>
            <w:r>
              <w:rPr>
                <w:rFonts w:ascii="JetBrains Mono" w:hAnsi="JetBrains Mono"/>
                <w:b w:val="0"/>
                <w:i w:val="0"/>
                <w:color w:val="C8C8C8"/>
                <w:sz w:val="20"/>
              </w:rPr>
              <w:t>Free</w:t>
            </w:r>
          </w:p>
        </w:tc>
      </w:tr>
      <w:tr>
        <w:tc>
          <w:tcPr>
            <w:tcW w:type="dxa" w:w="2293"/>
          </w:tcPr>
          <w:p>
            <w:pPr>
              <w:spacing w:after="40" w:before="40"/>
            </w:pPr>
            <w:r>
              <w:rPr>
                <w:rFonts w:ascii="Inter" w:hAnsi="Inter"/>
                <w:b w:val="0"/>
                <w:i w:val="0"/>
                <w:color w:val="E7E7E7"/>
                <w:sz w:val="20"/>
              </w:rPr>
              <w:t>Complete</w:t>
            </w:r>
          </w:p>
        </w:tc>
        <w:tc>
          <w:tcPr>
            <w:tcW w:type="dxa" w:w="2293"/>
          </w:tcPr>
          <w:p>
            <w:pPr>
              <w:spacing w:after="40" w:before="40"/>
              <w:jc w:val="right"/>
            </w:pPr>
            <w:r>
              <w:rPr>
                <w:rFonts w:ascii="JetBrains Mono" w:hAnsi="JetBrains Mono"/>
                <w:b w:val="0"/>
                <w:i w:val="0"/>
                <w:color w:val="C8C8C8"/>
                <w:sz w:val="20"/>
              </w:rPr>
              <w:t>10+</w:t>
            </w:r>
          </w:p>
        </w:tc>
        <w:tc>
          <w:tcPr>
            <w:tcW w:type="dxa" w:w="2293"/>
          </w:tcPr>
          <w:p>
            <w:pPr>
              <w:spacing w:after="40" w:before="40"/>
              <w:jc w:val="right"/>
            </w:pPr>
            <w:r>
              <w:rPr>
                <w:rFonts w:ascii="JetBrains Mono" w:hAnsi="JetBrains Mono"/>
                <w:b w:val="0"/>
                <w:i w:val="0"/>
                <w:color w:val="C8C8C8"/>
                <w:sz w:val="20"/>
              </w:rPr>
              <w:t>Commercial</w:t>
            </w:r>
          </w:p>
        </w:tc>
        <w:tc>
          <w:tcPr>
            <w:tcW w:type="dxa" w:w="2293"/>
          </w:tcPr>
          <w:p>
            <w:pPr>
              <w:spacing w:after="40" w:before="40"/>
              <w:jc w:val="right"/>
            </w:pPr>
            <w:r>
              <w:rPr>
                <w:rFonts w:ascii="JetBrains Mono" w:hAnsi="JetBrains Mono"/>
                <w:b w:val="0"/>
                <w:i w:val="0"/>
                <w:color w:val="C8C8C8"/>
                <w:sz w:val="20"/>
              </w:rPr>
              <w:t>Free</w:t>
            </w:r>
          </w:p>
        </w:tc>
      </w:tr>
    </w:tbl>
    <w:p>
      <w:pPr>
        <w:spacing w:before="0" w:after="120" w:line="312" w:lineRule="auto"/>
      </w:pPr>
    </w:p>
    <w:p>
      <w:pPr>
        <w:spacing w:before="320" w:after="120" w:line="312" w:lineRule="auto"/>
      </w:pPr>
      <w:r>
        <w:rPr>
          <w:rFonts w:ascii="Inter" w:hAnsi="Inter"/>
          <w:b/>
          <w:i w:val="0"/>
          <w:color w:val="888888"/>
          <w:sz w:val="32"/>
        </w:rPr>
        <w:t xml:space="preserve">— </w:t>
      </w:r>
      <w:r>
        <w:rPr>
          <w:rFonts w:ascii="Inter" w:hAnsi="Inter"/>
          <w:b/>
          <w:i w:val="0"/>
          <w:color w:val="E7E7E7"/>
          <w:sz w:val="32"/>
        </w:rPr>
        <w:t>One file to re-skin</w:t>
      </w:r>
    </w:p>
    <w:p>
      <w:pPr>
        <w:spacing w:before="0" w:after="160" w:line="336" w:lineRule="auto"/>
      </w:pPr>
      <w:r>
        <w:rPr>
          <w:rFonts w:ascii="Inter" w:hAnsi="Inter"/>
          <w:b w:val="0"/>
          <w:i w:val="0"/>
          <w:color w:val="C8C8C8"/>
          <w:sz w:val="22"/>
        </w:rPr>
        <w:t>Everything you have read sits on a handful of variables. Change them once and the headings, callouts, tables and captions all move together — no find-and-replace, no orphaned styles, no drift between this document and the rest of the system.</w:t>
      </w:r>
    </w:p>
    <w:tbl>
      <w:tblPr>
        <w:tblW w:type="auto" w:w="0"/>
        <w:tblLook w:firstColumn="1" w:firstRow="1" w:lastColumn="0" w:lastRow="0" w:noHBand="0" w:noVBand="1" w:val="04A0"/>
        <w:tblBorders>
          <w:top w:val="none"/>
          <w:left w:val="none"/>
          <w:bottom w:val="none"/>
          <w:right w:val="none"/>
          <w:insideH w:val="none"/>
          <w:insideV w:val="none"/>
        </w:tblBorders>
      </w:tblPr>
      <w:tblGrid>
        <w:gridCol w:w="9173"/>
      </w:tblGrid>
      <w:tr>
        <w:tc>
          <w:tcPr>
            <w:tcW w:type="dxa" w:w="9173"/>
            <w:shd w:val="clear" w:fill="171717"/>
            <w:tcBorders>
              <w:left w:val="single" w:sz="28" w:space="0" w:color="8A4D4D"/>
            </w:tcBorders>
            <w:tcMar>
              <w:top w:w="120" w:type="dxa"/>
              <w:bottom w:w="120" w:type="dxa"/>
              <w:left w:w="180" w:type="dxa"/>
              <w:right w:w="180" w:type="dxa"/>
            </w:tcMar>
          </w:tcPr>
          <w:p>
            <w:pPr>
              <w:spacing w:after="40" w:before="40"/>
            </w:pPr>
            <w:r>
              <w:rPr>
                <w:rFonts w:ascii="JetBrains Mono" w:hAnsi="JetBrains Mono"/>
                <w:b/>
                <w:i w:val="0"/>
                <w:color w:val="8A4D4D"/>
                <w:sz w:val="17"/>
                <w:spacing w:val="30"/>
              </w:rPr>
              <w:t>WARNING</w:t>
            </w:r>
          </w:p>
          <w:p>
            <w:pPr>
              <w:spacing w:after="40"/>
            </w:pPr>
            <w:r>
              <w:rPr>
                <w:rFonts w:ascii="Inter" w:hAnsi="Inter"/>
                <w:b/>
                <w:i w:val="0"/>
                <w:color w:val="E7E7E7"/>
                <w:sz w:val="22"/>
              </w:rPr>
              <w:t>Don’t break the scale</w:t>
            </w:r>
          </w:p>
          <w:p>
            <w:pPr>
              <w:spacing w:after="40" w:line="312" w:lineRule="auto"/>
            </w:pPr>
            <w:r>
              <w:rPr>
                <w:rFonts w:ascii="Inter" w:hAnsi="Inter"/>
                <w:b w:val="0"/>
                <w:i w:val="0"/>
                <w:color w:val="C8C8C8"/>
                <w:sz w:val="21"/>
              </w:rPr>
              <w:t>The fastest way to wreck a system is an off-scale spacing value or a one-off colour. If a value isn’t a token, it doesn’t belong on the page.</w:t>
            </w:r>
          </w:p>
        </w:tc>
      </w:tr>
    </w:tbl>
    <w:p>
      <w:pPr>
        <w:spacing w:before="0" w:after="80" w:line="312" w:lineRule="auto"/>
      </w:pPr>
    </w:p>
    <w:p>
      <w:pPr>
        <w:spacing w:before="0" w:after="40" w:line="336" w:lineRule="auto"/>
      </w:pPr>
      <w:r>
        <w:rPr>
          <w:rFonts w:ascii="Inter" w:hAnsi="Inter"/>
          <w:b w:val="0"/>
          <w:i w:val="0"/>
          <w:color w:val="888888"/>
          <w:sz w:val="22"/>
        </w:rPr>
        <w:t>Styled with Karadigm · lukokaravan.cz</w:t>
      </w:r>
    </w:p>
    <w:sectPr w:rsidR="00FC693F" w:rsidRPr="0006063C" w:rsidSect="00034616">
      <w:footerReference w:type="default" r:id="rId11"/>
      <w:pgSz w:w="11909" w:h="16834"/>
      <w:pgMar w:top="1296" w:right="1368" w:bottom="1296" w:left="136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JetBrains Mono" w:hAnsi="JetBrains Mono"/>
        <w:b w:val="0"/>
        <w:i w:val="0"/>
        <w:color w:val="888888"/>
        <w:sz w:val="16"/>
      </w:rPr>
      <w:t xml:space="preserve">Karadigm specimen · lukokaravan.cz · </w:t>
    </w:r>
    <w:fldSimple w:instr="PAGE">
      <w:r>
        <w:rPr>
          <w:sz w:val="16"/>
          <w:color w:val="888888"/>
        </w:rPr>
        <w:t>1</w:t>
      </w:r>
    </w:fldSimpl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Inter" w:hAnsi="Inter"/>
      <w:color w:val="C8C8C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image" Target="media/image2.jpg"/><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